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中标（成交）结果公告</w:t>
      </w:r>
    </w:p>
    <w:p>
      <w:pPr>
        <w:pStyle w:val="2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、项目名称：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四川自贡港通建设开发有限公司招标代理机构储备库采购项目</w:t>
      </w:r>
    </w:p>
    <w:p>
      <w:pPr>
        <w:pStyle w:val="2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结果</w:t>
      </w:r>
      <w:bookmarkStart w:id="0" w:name="_GoBack"/>
      <w:bookmarkEnd w:id="0"/>
    </w:p>
    <w:tbl>
      <w:tblPr>
        <w:tblStyle w:val="5"/>
        <w:tblW w:w="8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4606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候选人排序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综合得分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四川众智汇强工程项目管理有限公司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93.40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中科思成建设集团有限公司招标代理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92.60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四川安优格建设工程有限公司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91.80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四中标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四川科恒建设咨询监理有限责任公司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91.00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五中标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四川省德海工程项目管理有限公司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91.00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六中标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成都新行巨工程项目管理有限公司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91.00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七中标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中锦军贤工程咨询集团有限公司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91.00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八中标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四川众合融晟招标咨询有限公司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90.80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九中标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四川汇隆招投标咨询有限公司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90.20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十中标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成都中土工程设计有限公司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89.80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十一中标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四川中采项目管理有限公司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89.40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十二中标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安迅达工程咨询有限公司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89.40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十三中标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四川呇凡项目管理有限公司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89.20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十四中标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四川成兴东项目管理有限公司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89.20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十五中标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四川省中唐智招标代理有限公司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88.60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十六中标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四川创发工程项目管理有限公司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88.20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十七中标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成都鑫中垚工程造价咨询有限公司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88.00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十八中标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贡联国际项目管理有限公司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87.00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十九中标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四川富土采购招标代理有限公司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87.00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二十中标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自贡名润项目管理有限公司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87.00 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主要标的信息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3367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采购标的</w:t>
            </w:r>
          </w:p>
        </w:tc>
        <w:tc>
          <w:tcPr>
            <w:tcW w:w="336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2349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四川自贡港通建设开发有限公司招标代理机构储备库采购项目</w:t>
            </w:r>
          </w:p>
        </w:tc>
        <w:tc>
          <w:tcPr>
            <w:tcW w:w="336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2024-2025年度四川自贡港通建设开发有限公司的招标代理服务</w:t>
            </w:r>
          </w:p>
        </w:tc>
        <w:tc>
          <w:tcPr>
            <w:tcW w:w="2349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自合同签订之日起一年</w:t>
            </w:r>
          </w:p>
        </w:tc>
      </w:tr>
    </w:tbl>
    <w:p>
      <w:pPr>
        <w:pStyle w:val="2"/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numPr>
          <w:ilvl w:val="0"/>
          <w:numId w:val="1"/>
        </w:numPr>
        <w:bidi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方式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名称：四川自贡港通建设开发有限公司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地址：四川省自贡市贡井区航空产业园区灯塔路1号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联系人：曾老师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电话：0813-3216079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名称：中招财智（成都）招投标有限公司</w:t>
      </w:r>
    </w:p>
    <w:p>
      <w:pPr>
        <w:pStyle w:val="2"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地址：成都市双流区东升街道龙桥路6号132栋5楼501号</w:t>
      </w:r>
    </w:p>
    <w:p>
      <w:pPr>
        <w:pStyle w:val="2"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联系人：孔女士</w:t>
      </w:r>
    </w:p>
    <w:p>
      <w:pPr>
        <w:pStyle w:val="2"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电话：17828965705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Goudy">
    <w:panose1 w:val="02020502050305020303"/>
    <w:charset w:val="00"/>
    <w:family w:val="auto"/>
    <w:pitch w:val="default"/>
    <w:sig w:usb0="00000000" w:usb1="00000000" w:usb2="00000000" w:usb3="00000000" w:csb0="00000000" w:csb1="00000000"/>
  </w:font>
  <w:font w:name="Goudy ExtraBold">
    <w:panose1 w:val="02040702050305020303"/>
    <w:charset w:val="00"/>
    <w:family w:val="auto"/>
    <w:pitch w:val="default"/>
    <w:sig w:usb0="00000000" w:usb1="00000000" w:usb2="00000000" w:usb3="00000000" w:csb0="00000000" w:csb1="00000000"/>
  </w:font>
  <w:font w:name="GillSans">
    <w:panose1 w:val="020B0602020204020204"/>
    <w:charset w:val="00"/>
    <w:family w:val="auto"/>
    <w:pitch w:val="default"/>
    <w:sig w:usb0="00000000" w:usb1="00000000" w:usb2="00000000" w:usb3="00000000" w:csb0="00000000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eneva">
    <w:panose1 w:val="020B050303040404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323D8"/>
    <w:multiLevelType w:val="singleLevel"/>
    <w:tmpl w:val="470323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zFhY2ViMWVjNzhjNmIwYWM0NDc0NzllMDQ3YzIifQ=="/>
  </w:docVars>
  <w:rsids>
    <w:rsidRoot w:val="78501CD6"/>
    <w:rsid w:val="38F45A44"/>
    <w:rsid w:val="5E38115F"/>
    <w:rsid w:val="70683BA9"/>
    <w:rsid w:val="7850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firstLine="883" w:firstLineChars="200"/>
      <w:jc w:val="left"/>
    </w:pPr>
    <w:rPr>
      <w:rFonts w:ascii="Calibri" w:hAnsi="Calibri" w:eastAsia="仿宋" w:cs="Times New Roman"/>
      <w:szCs w:val="20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2024-04-16T03:44:00Z</dcterms:created>
  <dc:creator>众智汇强</dc:creator>
  <cp:lastModifiedBy>众智汇强</cp:lastModifiedBy>
  <dcterms:modified xsi:type="dcterms:W3CDTF">2024-04-16T06:30:25Z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E5FAAA8CA3AF4CBC9F642A141983785A_11</vt:lpwstr>
  </property>
</Properties>
</file>